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 w:val="0"/>
        <w:keepLines/>
        <w:pageBreakBefore w:val="0"/>
        <w:spacing w:before="0" w:after="6" w:line="228" w:lineRule="auto"/>
        <w:jc w:val="left"/>
      </w:pPr>
      <w:r>
        <w:rPr>
          <w:rFonts w:ascii="Arial" w:hAnsi="Arial" w:eastAsia="Arial"/>
          <w:b w:val="0"/>
          <w:i w:val="0"/>
          <w:color w:val="171717"/>
          <w:sz w:val="48"/>
          <w:spacing w:val="36"/>
        </w:rPr>
        <w:t>TIM FRUGE</w:t>
      </w:r>
    </w:p>
    <w:p>
      <w:pPr>
        <w:keepNext w:val="0"/>
        <w:keepLines/>
        <w:pageBreakBefore w:val="0"/>
        <w:spacing w:before="0" w:after="28" w:line="240" w:lineRule="auto"/>
      </w:pPr>
      <w:r>
        <w:rPr>
          <w:rFonts w:ascii="Arial" w:hAnsi="Arial" w:eastAsia="Arial"/>
          <w:b/>
          <w:i w:val="0"/>
          <w:color w:val="505050"/>
          <w:sz w:val="14"/>
          <w:spacing w:val="7"/>
        </w:rPr>
        <w:t>GENERAL MANAGER &amp; OPERATIONS EXECUTIVE  |  DTC &amp; CONSUMER PRODUCTS  |  SUPPLEMENTS  |  MEDIA &amp; CREATOR OPERATIONS</w:t>
      </w:r>
    </w:p>
    <w:p>
      <w:pPr>
        <w:keepNext w:val="0"/>
        <w:keepLines/>
        <w:pageBreakBefore w:val="0"/>
        <w:spacing w:before="0" w:after="0" w:line="240" w:lineRule="auto"/>
      </w:pPr>
      <w:r>
        <w:rPr>
          <w:rFonts w:ascii="Arial" w:hAnsi="Arial" w:eastAsia="Arial"/>
          <w:b w:val="0"/>
          <w:i w:val="0"/>
          <w:color w:val="505050"/>
          <w:sz w:val="16"/>
        </w:rPr>
        <w:t>Austin, Texas  |  512-925-4933  |  tim.fruge@yahoo.com  |  timfruge.com  |  linkedin.com/in/tim-fruge</w:t>
      </w:r>
    </w:p>
    <w:p>
      <w:pPr>
        <w:keepNext w:val="0"/>
        <w:keepLines/>
        <w:pageBreakBefore w:val="0"/>
        <w:spacing w:before="40" w:after="0" w:line="259" w:lineRule="auto"/>
      </w:pPr>
      <w:r>
        <w:rPr>
          <w:rFonts w:ascii="Arial" w:hAnsi="Arial" w:eastAsia="Arial"/>
          <w:b w:val="0"/>
          <w:i/>
          <w:color w:val="505050"/>
          <w:sz w:val="18"/>
        </w:rPr>
        <w:t>General manager and operations executive with 17 years across consumer products, media, DTC, supplements and founder-led businesses. Connects product, economics, revenue, systems, people and risk, then turns the full picture into decisions and execution.</w:t>
      </w:r>
    </w:p>
    <w:p>
      <w:pPr>
        <w:keepNext/>
        <w:keepLines/>
        <w:pageBreakBefore w:val="0"/>
        <w:tabs>
          <w:tab w:pos="10368" w:val="right" w:leader="dot"/>
        </w:tabs>
        <w:spacing w:before="140" w:after="100" w:line="240" w:lineRule="auto"/>
        <w:jc w:val="right"/>
      </w:pPr>
      <w:r>
        <w:rPr>
          <w:rFonts w:ascii="Arial" w:hAnsi="Arial" w:eastAsia="Arial"/>
          <w:b/>
          <w:i w:val="0"/>
          <w:color w:val="171717"/>
          <w:sz w:val="16"/>
          <w:spacing w:val="26"/>
        </w:rPr>
        <w:tab/>
        <w:t>CAREER HIGHLIGHTS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629"/>
        <w:gridCol w:w="6797"/>
      </w:tblGrid>
      <w:tr>
        <w:tc>
          <w:tcPr>
            <w:tcW w:type="dxa" w:w="3629"/>
            <w:vAlign w:val="top"/>
            <w:tcMar>
              <w:top w:w="0" w:type="dxa"/>
              <w:start w:w="0" w:type="dxa"/>
              <w:bottom w:w="0" w:type="dxa"/>
              <w:end w:w="110" w:type="dxa"/>
            </w:tcMar>
          </w:tcPr>
          <w:p>
            <w:pPr>
              <w:keepNext/>
              <w:spacing w:before="0" w:after="40" w:line="240" w:lineRule="auto"/>
            </w:pPr>
            <w:r>
              <w:rPr>
                <w:rFonts w:ascii="Arial" w:hAnsi="Arial" w:eastAsia="Arial"/>
                <w:b/>
                <w:i w:val="0"/>
                <w:color w:val="505050"/>
                <w:sz w:val="15"/>
                <w:spacing w:val="16"/>
              </w:rPr>
              <w:t>SELECTED IMPACT</w:t>
            </w:r>
          </w:p>
          <w:p>
            <w:pPr>
              <w:keepLines/>
              <w:spacing w:before="0" w:after="38" w:line="252" w:lineRule="auto"/>
            </w:pPr>
            <w:r>
              <w:rPr>
                <w:rFonts w:ascii="Arial" w:hAnsi="Arial" w:eastAsia="Arial"/>
                <w:b/>
                <w:i w:val="0"/>
                <w:color w:val="171717"/>
                <w:sz w:val="17"/>
              </w:rPr>
              <w:t xml:space="preserve">Business Scale: </w:t>
            </w:r>
            <w:r>
              <w:rPr>
                <w:rFonts w:ascii="Arial" w:hAnsi="Arial" w:eastAsia="Arial"/>
                <w:b w:val="0"/>
                <w:i w:val="0"/>
                <w:color w:val="171717"/>
                <w:sz w:val="17"/>
              </w:rPr>
              <w:t>Advanced from customer service and fulfillment to Director of Operations as the company grew from ~7 employees and $2M to ~80 employees and ~$80M.</w:t>
            </w:r>
          </w:p>
          <w:p>
            <w:pPr>
              <w:keepLines/>
              <w:spacing w:before="0" w:after="38" w:line="252" w:lineRule="auto"/>
            </w:pPr>
            <w:r>
              <w:rPr>
                <w:rFonts w:ascii="Arial" w:hAnsi="Arial" w:eastAsia="Arial"/>
                <w:b/>
                <w:i w:val="0"/>
                <w:color w:val="171717"/>
                <w:sz w:val="17"/>
              </w:rPr>
              <w:t xml:space="preserve">Portfolio Growth: </w:t>
            </w:r>
            <w:r>
              <w:rPr>
                <w:rFonts w:ascii="Arial" w:hAnsi="Arial" w:eastAsia="Arial"/>
                <w:b w:val="0"/>
                <w:i w:val="0"/>
                <w:color w:val="171717"/>
                <w:sz w:val="17"/>
              </w:rPr>
              <w:t>Built proprietary products from zero to ~90% of company revenue; directed 250+ launches.</w:t>
            </w:r>
          </w:p>
          <w:p>
            <w:pPr>
              <w:keepLines/>
              <w:spacing w:before="0" w:after="38" w:line="252" w:lineRule="auto"/>
            </w:pPr>
            <w:r>
              <w:rPr>
                <w:rFonts w:ascii="Arial" w:hAnsi="Arial" w:eastAsia="Arial"/>
                <w:b/>
                <w:i w:val="0"/>
                <w:color w:val="171717"/>
                <w:sz w:val="17"/>
              </w:rPr>
              <w:t xml:space="preserve">Founder Build: </w:t>
            </w:r>
            <w:r>
              <w:rPr>
                <w:rFonts w:ascii="Arial" w:hAnsi="Arial" w:eastAsia="Arial"/>
                <w:b w:val="0"/>
                <w:i w:val="0"/>
                <w:color w:val="171717"/>
                <w:sz w:val="17"/>
              </w:rPr>
              <w:t>Built PrepareToday to ~$2.8M in first-year order value across 6,000+ orders.</w:t>
            </w:r>
          </w:p>
          <w:p>
            <w:pPr>
              <w:keepLines/>
              <w:spacing w:before="0" w:after="13" w:line="252" w:lineRule="auto"/>
            </w:pPr>
            <w:r>
              <w:rPr>
                <w:rFonts w:ascii="Arial" w:hAnsi="Arial" w:eastAsia="Arial"/>
                <w:b/>
                <w:i w:val="0"/>
                <w:color w:val="171717"/>
                <w:sz w:val="17"/>
              </w:rPr>
              <w:t xml:space="preserve">Network Expansion: </w:t>
            </w:r>
            <w:r>
              <w:rPr>
                <w:rFonts w:ascii="Arial" w:hAnsi="Arial" w:eastAsia="Arial"/>
                <w:b w:val="0"/>
                <w:i w:val="0"/>
                <w:color w:val="171717"/>
                <w:sz w:val="17"/>
              </w:rPr>
              <w:t>Launched ~62,000 square feet of regional capacity supporting two-day delivery.</w:t>
            </w:r>
          </w:p>
        </w:tc>
        <w:tc>
          <w:tcPr>
            <w:tcW w:type="dxa" w:w="6797"/>
            <w:vAlign w:val="top"/>
            <w:tcMar>
              <w:top w:w="0" w:type="dxa"/>
              <w:start w:w="110" w:type="dxa"/>
              <w:bottom w:w="0" w:type="dxa"/>
              <w:end w:w="0" w:type="dxa"/>
            </w:tcMar>
          </w:tcPr>
          <w:p>
            <w:pPr>
              <w:keepNext/>
              <w:spacing w:before="0" w:after="40" w:line="240" w:lineRule="auto"/>
            </w:pPr>
            <w:r>
              <w:rPr>
                <w:rFonts w:ascii="Arial" w:hAnsi="Arial" w:eastAsia="Arial"/>
                <w:b/>
                <w:i w:val="0"/>
                <w:color w:val="505050"/>
                <w:sz w:val="15"/>
                <w:spacing w:val="16"/>
              </w:rPr>
              <w:t>CORE EXPERTISE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266"/>
              <w:gridCol w:w="2266"/>
              <w:gridCol w:w="2266"/>
            </w:tblGrid>
            <w:tr>
              <w:tc>
                <w:tcPr>
                  <w:tcW w:type="dxa" w:w="2160"/>
                  <w:vAlign w:val="top"/>
                  <w:tcMar>
                    <w:top w:w="0" w:type="dxa"/>
                    <w:start w:w="0" w:type="dxa"/>
                    <w:bottom w:w="15" w:type="dxa"/>
                    <w:end w:w="80" w:type="dxa"/>
                  </w:tcMar>
                </w:tcPr>
                <w:p>
                  <w:pPr>
                    <w:keepLines/>
                    <w:spacing w:before="0" w:after="40" w:line="250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171717"/>
                      <w:sz w:val="17"/>
                    </w:rPr>
                    <w:t xml:space="preserve">✓ </w:t>
                  </w:r>
                  <w:r>
                    <w:rPr>
                      <w:rFonts w:ascii="Arial" w:hAnsi="Arial" w:eastAsia="Arial"/>
                      <w:b w:val="0"/>
                      <w:i w:val="0"/>
                      <w:color w:val="171717"/>
                      <w:sz w:val="17"/>
                    </w:rPr>
                    <w:t>General Management</w:t>
                  </w:r>
                </w:p>
              </w:tc>
              <w:tc>
                <w:tcPr>
                  <w:tcW w:type="dxa" w:w="2160"/>
                  <w:vAlign w:val="top"/>
                  <w:tcMar>
                    <w:top w:w="0" w:type="dxa"/>
                    <w:start w:w="0" w:type="dxa"/>
                    <w:bottom w:w="15" w:type="dxa"/>
                    <w:end w:w="80" w:type="dxa"/>
                  </w:tcMar>
                </w:tcPr>
                <w:p>
                  <w:pPr>
                    <w:keepLines/>
                    <w:spacing w:before="0" w:after="40" w:line="250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171717"/>
                      <w:sz w:val="17"/>
                    </w:rPr>
                    <w:t xml:space="preserve">✓ </w:t>
                  </w:r>
                  <w:r>
                    <w:rPr>
                      <w:rFonts w:ascii="Arial" w:hAnsi="Arial" w:eastAsia="Arial"/>
                      <w:b w:val="0"/>
                      <w:i w:val="0"/>
                      <w:color w:val="171717"/>
                      <w:sz w:val="17"/>
                    </w:rPr>
                    <w:t>P&amp;L &amp; Unit Economics</w:t>
                  </w:r>
                </w:p>
              </w:tc>
              <w:tc>
                <w:tcPr>
                  <w:tcW w:type="dxa" w:w="2160"/>
                  <w:vAlign w:val="top"/>
                  <w:tcMar>
                    <w:top w:w="0" w:type="dxa"/>
                    <w:start w:w="0" w:type="dxa"/>
                    <w:bottom w:w="15" w:type="dxa"/>
                    <w:end w:w="80" w:type="dxa"/>
                  </w:tcMar>
                </w:tcPr>
                <w:p>
                  <w:pPr>
                    <w:keepLines/>
                    <w:spacing w:before="0" w:after="40" w:line="250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171717"/>
                      <w:sz w:val="17"/>
                    </w:rPr>
                    <w:t xml:space="preserve">✓ </w:t>
                  </w:r>
                  <w:r>
                    <w:rPr>
                      <w:rFonts w:ascii="Arial" w:hAnsi="Arial" w:eastAsia="Arial"/>
                      <w:b w:val="0"/>
                      <w:i w:val="0"/>
                      <w:color w:val="171717"/>
                      <w:sz w:val="17"/>
                    </w:rPr>
                    <w:t>Strategic Operations &amp; Special Projects</w:t>
                  </w:r>
                </w:p>
              </w:tc>
            </w:tr>
            <w:tr>
              <w:tc>
                <w:tcPr>
                  <w:tcW w:type="dxa" w:w="2160"/>
                  <w:vAlign w:val="top"/>
                  <w:tcMar>
                    <w:top w:w="0" w:type="dxa"/>
                    <w:start w:w="0" w:type="dxa"/>
                    <w:bottom w:w="15" w:type="dxa"/>
                    <w:end w:w="80" w:type="dxa"/>
                  </w:tcMar>
                </w:tcPr>
                <w:p>
                  <w:pPr>
                    <w:keepLines/>
                    <w:spacing w:before="0" w:after="40" w:line="250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171717"/>
                      <w:sz w:val="17"/>
                    </w:rPr>
                    <w:t xml:space="preserve">✓ </w:t>
                  </w:r>
                  <w:r>
                    <w:rPr>
                      <w:rFonts w:ascii="Arial" w:hAnsi="Arial" w:eastAsia="Arial"/>
                      <w:b w:val="0"/>
                      <w:i w:val="0"/>
                      <w:color w:val="171717"/>
                      <w:sz w:val="17"/>
                    </w:rPr>
                    <w:t>Business Transformation</w:t>
                  </w:r>
                </w:p>
              </w:tc>
              <w:tc>
                <w:tcPr>
                  <w:tcW w:type="dxa" w:w="2160"/>
                  <w:vAlign w:val="top"/>
                  <w:tcMar>
                    <w:top w:w="0" w:type="dxa"/>
                    <w:start w:w="0" w:type="dxa"/>
                    <w:bottom w:w="15" w:type="dxa"/>
                    <w:end w:w="80" w:type="dxa"/>
                  </w:tcMar>
                </w:tcPr>
                <w:p>
                  <w:pPr>
                    <w:keepLines/>
                    <w:spacing w:before="0" w:after="40" w:line="250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171717"/>
                      <w:sz w:val="17"/>
                    </w:rPr>
                    <w:t xml:space="preserve">✓ </w:t>
                  </w:r>
                  <w:r>
                    <w:rPr>
                      <w:rFonts w:ascii="Arial" w:hAnsi="Arial" w:eastAsia="Arial"/>
                      <w:b w:val="0"/>
                      <w:i w:val="0"/>
                      <w:color w:val="171717"/>
                      <w:sz w:val="17"/>
                    </w:rPr>
                    <w:t>Founder-Led Operations</w:t>
                  </w:r>
                </w:p>
              </w:tc>
              <w:tc>
                <w:tcPr>
                  <w:tcW w:type="dxa" w:w="2160"/>
                  <w:vAlign w:val="top"/>
                  <w:tcMar>
                    <w:top w:w="0" w:type="dxa"/>
                    <w:start w:w="0" w:type="dxa"/>
                    <w:bottom w:w="15" w:type="dxa"/>
                    <w:end w:w="80" w:type="dxa"/>
                  </w:tcMar>
                </w:tcPr>
                <w:p>
                  <w:pPr>
                    <w:keepLines/>
                    <w:spacing w:before="0" w:after="40" w:line="250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171717"/>
                      <w:sz w:val="17"/>
                    </w:rPr>
                    <w:t xml:space="preserve">✓ </w:t>
                  </w:r>
                  <w:r>
                    <w:rPr>
                      <w:rFonts w:ascii="Arial" w:hAnsi="Arial" w:eastAsia="Arial"/>
                      <w:b w:val="0"/>
                      <w:i w:val="0"/>
                      <w:color w:val="171717"/>
                      <w:sz w:val="17"/>
                    </w:rPr>
                    <w:t>Product Commercialization</w:t>
                  </w:r>
                </w:p>
              </w:tc>
            </w:tr>
            <w:tr>
              <w:tc>
                <w:tcPr>
                  <w:tcW w:type="dxa" w:w="2160"/>
                  <w:vAlign w:val="top"/>
                  <w:tcMar>
                    <w:top w:w="0" w:type="dxa"/>
                    <w:start w:w="0" w:type="dxa"/>
                    <w:bottom w:w="15" w:type="dxa"/>
                    <w:end w:w="80" w:type="dxa"/>
                  </w:tcMar>
                </w:tcPr>
                <w:p>
                  <w:pPr>
                    <w:keepLines/>
                    <w:spacing w:before="0" w:after="40" w:line="250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171717"/>
                      <w:sz w:val="17"/>
                    </w:rPr>
                    <w:t xml:space="preserve">✓ </w:t>
                  </w:r>
                  <w:r>
                    <w:rPr>
                      <w:rFonts w:ascii="Arial" w:hAnsi="Arial" w:eastAsia="Arial"/>
                      <w:b w:val="0"/>
                      <w:i w:val="0"/>
                      <w:color w:val="171717"/>
                      <w:sz w:val="17"/>
                    </w:rPr>
                    <w:t>Supply Chain &amp; Fulfillment</w:t>
                  </w:r>
                </w:p>
              </w:tc>
              <w:tc>
                <w:tcPr>
                  <w:tcW w:type="dxa" w:w="2160"/>
                  <w:vAlign w:val="top"/>
                  <w:tcMar>
                    <w:top w:w="0" w:type="dxa"/>
                    <w:start w:w="0" w:type="dxa"/>
                    <w:bottom w:w="15" w:type="dxa"/>
                    <w:end w:w="80" w:type="dxa"/>
                  </w:tcMar>
                </w:tcPr>
                <w:p>
                  <w:pPr>
                    <w:keepLines/>
                    <w:spacing w:before="0" w:after="40" w:line="250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171717"/>
                      <w:sz w:val="17"/>
                    </w:rPr>
                    <w:t xml:space="preserve">✓ </w:t>
                  </w:r>
                  <w:r>
                    <w:rPr>
                      <w:rFonts w:ascii="Arial" w:hAnsi="Arial" w:eastAsia="Arial"/>
                      <w:b w:val="0"/>
                      <w:i w:val="0"/>
                      <w:color w:val="171717"/>
                      <w:sz w:val="17"/>
                    </w:rPr>
                    <w:t>Cross-Functional Leadership</w:t>
                  </w:r>
                </w:p>
              </w:tc>
              <w:tc>
                <w:tcPr>
                  <w:tcW w:type="dxa" w:w="2160"/>
                  <w:vAlign w:val="top"/>
                  <w:tcMar>
                    <w:top w:w="0" w:type="dxa"/>
                    <w:start w:w="0" w:type="dxa"/>
                    <w:bottom w:w="15" w:type="dxa"/>
                    <w:end w:w="80" w:type="dxa"/>
                  </w:tcMar>
                </w:tcPr>
                <w:p>
                  <w:pPr>
                    <w:keepLines/>
                    <w:spacing w:before="0" w:after="40" w:line="250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171717"/>
                      <w:sz w:val="17"/>
                    </w:rPr>
                    <w:t xml:space="preserve">✓ </w:t>
                  </w:r>
                  <w:r>
                    <w:rPr>
                      <w:rFonts w:ascii="Arial" w:hAnsi="Arial" w:eastAsia="Arial"/>
                      <w:b w:val="0"/>
                      <w:i w:val="0"/>
                      <w:color w:val="171717"/>
                      <w:sz w:val="17"/>
                    </w:rPr>
                    <w:t>Systems Implementation</w:t>
                  </w:r>
                </w:p>
              </w:tc>
            </w:tr>
          </w:tbl>
          <w:p/>
        </w:tc>
      </w:tr>
    </w:tbl>
    <w:p>
      <w:pPr>
        <w:keepNext/>
        <w:keepLines/>
        <w:pageBreakBefore w:val="0"/>
        <w:tabs>
          <w:tab w:pos="10368" w:val="right" w:leader="dot"/>
        </w:tabs>
        <w:spacing w:before="140" w:after="100" w:line="240" w:lineRule="auto"/>
        <w:jc w:val="right"/>
      </w:pPr>
      <w:r>
        <w:rPr>
          <w:rFonts w:ascii="Arial" w:hAnsi="Arial" w:eastAsia="Arial"/>
          <w:b/>
          <w:i w:val="0"/>
          <w:color w:val="171717"/>
          <w:sz w:val="16"/>
          <w:spacing w:val="26"/>
        </w:rPr>
        <w:tab/>
        <w:t>PROFESSIONAL EXPERIENCE</w:t>
      </w:r>
    </w:p>
    <w:p>
      <w:pPr>
        <w:keepNext/>
        <w:keepLines/>
        <w:pageBreakBefore w:val="0"/>
        <w:spacing w:before="140" w:after="9" w:line="240" w:lineRule="auto"/>
      </w:pPr>
      <w:r>
        <w:rPr>
          <w:rFonts w:ascii="Arial" w:hAnsi="Arial" w:eastAsia="Arial"/>
          <w:b/>
          <w:i w:val="0"/>
          <w:color w:val="171717"/>
          <w:sz w:val="22"/>
          <w:spacing w:val="3"/>
        </w:rPr>
        <w:t>Independent Operations Advisor</w:t>
      </w:r>
    </w:p>
    <w:p>
      <w:pPr>
        <w:keepNext/>
        <w:keepLines/>
        <w:pageBreakBefore w:val="0"/>
        <w:tabs>
          <w:tab w:pos="10368" w:val="right"/>
        </w:tabs>
        <w:spacing w:before="0" w:after="36" w:line="240" w:lineRule="auto"/>
      </w:pPr>
      <w:r>
        <w:rPr>
          <w:rFonts w:ascii="Arial" w:hAnsi="Arial" w:eastAsia="Arial"/>
          <w:b w:val="0"/>
          <w:i/>
          <w:color w:val="505050"/>
          <w:sz w:val="18"/>
        </w:rPr>
        <w:t>Independent, Austin, Texas</w:t>
      </w:r>
      <w:r>
        <w:rPr>
          <w:rFonts w:ascii="Arial" w:hAnsi="Arial" w:eastAsia="Arial"/>
          <w:b w:val="0"/>
          <w:i/>
          <w:color w:val="505050"/>
          <w:sz w:val="18"/>
        </w:rPr>
        <w:tab/>
        <w:t>Apr 2025-Present</w:t>
      </w:r>
    </w:p>
    <w:p>
      <w:pPr>
        <w:keepNext/>
        <w:keepLines/>
        <w:pageBreakBefore w:val="0"/>
        <w:spacing w:before="0" w:after="66" w:line="262" w:lineRule="auto"/>
      </w:pPr>
      <w:r>
        <w:rPr>
          <w:rFonts w:ascii="Arial" w:hAnsi="Arial" w:eastAsia="Arial"/>
          <w:b w:val="0"/>
          <w:i/>
          <w:color w:val="505050"/>
          <w:sz w:val="18"/>
        </w:rPr>
        <w:t>Advise owner-led companies on operating decisions, accountability, systems and implementation.</w:t>
      </w:r>
    </w:p>
    <w:p>
      <w:pPr>
        <w:keepNext w:val="0"/>
        <w:keepLines/>
        <w:pageBreakBefore w:val="0"/>
        <w:spacing w:before="0" w:after="90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Operating Model: </w:t>
      </w:r>
      <w:r>
        <w:rPr>
          <w:rFonts w:ascii="Arial" w:hAnsi="Arial" w:eastAsia="Arial"/>
          <w:b w:val="0"/>
          <w:i w:val="0"/>
          <w:color w:val="171717"/>
          <w:sz w:val="20"/>
        </w:rPr>
        <w:t>Designed and secured owner approval for a new client-service model, then built the implementation plan, scripts, educational content and performance tools.</w:t>
      </w:r>
    </w:p>
    <w:p>
      <w:pPr>
        <w:keepNext w:val="0"/>
        <w:keepLines/>
        <w:pageBreakBefore w:val="0"/>
        <w:spacing w:before="0" w:after="90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Founder Dependency: </w:t>
      </w:r>
      <w:r>
        <w:rPr>
          <w:rFonts w:ascii="Arial" w:hAnsi="Arial" w:eastAsia="Arial"/>
          <w:b w:val="0"/>
          <w:i w:val="0"/>
          <w:color w:val="171717"/>
          <w:sz w:val="20"/>
        </w:rPr>
        <w:t>Help owners clarify priorities, roles, staffing, handoffs and day-to-day leadership so execution does not depend on one person.</w:t>
      </w:r>
    </w:p>
    <w:p>
      <w:pPr>
        <w:keepNext w:val="0"/>
        <w:keepLines/>
        <w:pageBreakBefore w:val="0"/>
        <w:spacing w:before="0" w:after="90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Decision Support: </w:t>
      </w:r>
      <w:r>
        <w:rPr>
          <w:rFonts w:ascii="Arial" w:hAnsi="Arial" w:eastAsia="Arial"/>
          <w:b w:val="0"/>
          <w:i w:val="0"/>
          <w:color w:val="171717"/>
          <w:sz w:val="20"/>
        </w:rPr>
        <w:t>Serve as a confidential operating partner, using AI-assisted research, analysis and documentation to clarify priorities, responsibilities and practical next steps.</w:t>
      </w:r>
    </w:p>
    <w:p>
      <w:pPr>
        <w:keepNext/>
        <w:keepLines/>
        <w:pageBreakBefore w:val="0"/>
        <w:spacing w:before="140" w:after="9" w:line="240" w:lineRule="auto"/>
      </w:pPr>
      <w:r>
        <w:rPr>
          <w:rFonts w:ascii="Arial" w:hAnsi="Arial" w:eastAsia="Arial"/>
          <w:b/>
          <w:i w:val="0"/>
          <w:color w:val="171717"/>
          <w:sz w:val="22"/>
          <w:spacing w:val="3"/>
        </w:rPr>
        <w:t>Founder &amp; Operator</w:t>
      </w:r>
    </w:p>
    <w:p>
      <w:pPr>
        <w:keepNext/>
        <w:keepLines/>
        <w:pageBreakBefore w:val="0"/>
        <w:tabs>
          <w:tab w:pos="10368" w:val="right"/>
        </w:tabs>
        <w:spacing w:before="0" w:after="36" w:line="240" w:lineRule="auto"/>
      </w:pPr>
      <w:r>
        <w:rPr>
          <w:rFonts w:ascii="Arial" w:hAnsi="Arial" w:eastAsia="Arial"/>
          <w:b w:val="0"/>
          <w:i/>
          <w:color w:val="505050"/>
          <w:sz w:val="18"/>
        </w:rPr>
        <w:t>Nine Rivers Consulting / PrepareToday, Austin, Texas</w:t>
      </w:r>
      <w:r>
        <w:rPr>
          <w:rFonts w:ascii="Arial" w:hAnsi="Arial" w:eastAsia="Arial"/>
          <w:b w:val="0"/>
          <w:i/>
          <w:color w:val="505050"/>
          <w:sz w:val="18"/>
        </w:rPr>
        <w:tab/>
        <w:t>Mar 2022-Dec 2024</w:t>
      </w:r>
    </w:p>
    <w:p>
      <w:pPr>
        <w:keepNext/>
        <w:keepLines/>
        <w:pageBreakBefore w:val="0"/>
        <w:spacing w:before="0" w:after="66" w:line="262" w:lineRule="auto"/>
      </w:pPr>
      <w:r>
        <w:rPr>
          <w:rFonts w:ascii="Arial" w:hAnsi="Arial" w:eastAsia="Arial"/>
          <w:b w:val="0"/>
          <w:i/>
          <w:color w:val="505050"/>
          <w:sz w:val="18"/>
        </w:rPr>
        <w:t>Built and operated a direct-to-consumer emergency-preparedness retailer from launch through fulfillment.</w:t>
      </w:r>
    </w:p>
    <w:p>
      <w:pPr>
        <w:keepNext w:val="0"/>
        <w:keepLines/>
        <w:pageBreakBefore w:val="0"/>
        <w:spacing w:before="0" w:after="90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Business Build: </w:t>
      </w:r>
      <w:r>
        <w:rPr>
          <w:rFonts w:ascii="Arial" w:hAnsi="Arial" w:eastAsia="Arial"/>
          <w:b w:val="0"/>
          <w:i w:val="0"/>
          <w:color w:val="171717"/>
          <w:sz w:val="20"/>
        </w:rPr>
        <w:t>Grew the company from zero to ~$2.8M in recorded first-year order value across 6,000+ orders.</w:t>
      </w:r>
    </w:p>
    <w:p>
      <w:pPr>
        <w:keepNext w:val="0"/>
        <w:keepLines/>
        <w:pageBreakBefore w:val="0"/>
        <w:spacing w:before="0" w:after="90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Founder P&amp;L: </w:t>
      </w:r>
      <w:r>
        <w:rPr>
          <w:rFonts w:ascii="Arial" w:hAnsi="Arial" w:eastAsia="Arial"/>
          <w:b w:val="0"/>
          <w:i w:val="0"/>
          <w:color w:val="171717"/>
          <w:sz w:val="20"/>
        </w:rPr>
        <w:t>Owned revenue, pricing, COGS, purchasing, marketing spend, cash flow, margins, suppliers, customer service, payments and order operations.</w:t>
      </w:r>
    </w:p>
    <w:p>
      <w:pPr>
        <w:keepNext w:val="0"/>
        <w:keepLines/>
        <w:pageBreakBefore w:val="0"/>
        <w:spacing w:before="0" w:after="90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Partner Management: </w:t>
      </w:r>
      <w:r>
        <w:rPr>
          <w:rFonts w:ascii="Arial" w:hAnsi="Arial" w:eastAsia="Arial"/>
          <w:b w:val="0"/>
          <w:i w:val="0"/>
          <w:color w:val="171717"/>
          <w:sz w:val="20"/>
        </w:rPr>
        <w:t>Selected and directed web, email, analytics and accounting partners and resolved supplier, freight, processor and reporting problems.</w:t>
      </w:r>
    </w:p>
    <w:p>
      <w:pPr>
        <w:keepNext w:val="0"/>
        <w:keepLines/>
        <w:pageBreakBefore w:val="0"/>
        <w:spacing w:before="0" w:after="90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Lean Supply Chain: </w:t>
      </w:r>
      <w:r>
        <w:rPr>
          <w:rFonts w:ascii="Arial" w:hAnsi="Arial" w:eastAsia="Arial"/>
          <w:b w:val="0"/>
          <w:i w:val="0"/>
          <w:color w:val="171717"/>
          <w:sz w:val="20"/>
        </w:rPr>
        <w:t>Built supplier and direct-shipping relationships that supported growth without committing substantial capital to warehouse inventory.</w:t>
      </w:r>
    </w:p>
    <w:p>
      <w:pPr>
        <w:keepNext/>
        <w:keepLines/>
        <w:pageBreakBefore w:val="0"/>
        <w:spacing w:before="140" w:after="9" w:line="240" w:lineRule="auto"/>
      </w:pPr>
      <w:r>
        <w:rPr>
          <w:rFonts w:ascii="Arial" w:hAnsi="Arial" w:eastAsia="Arial"/>
          <w:b/>
          <w:i w:val="0"/>
          <w:color w:val="171717"/>
          <w:sz w:val="22"/>
          <w:spacing w:val="3"/>
        </w:rPr>
        <w:t>Strategic Operations and Special Projects</w:t>
      </w:r>
    </w:p>
    <w:p>
      <w:pPr>
        <w:keepNext/>
        <w:keepLines/>
        <w:pageBreakBefore w:val="0"/>
        <w:tabs>
          <w:tab w:pos="10368" w:val="right"/>
        </w:tabs>
        <w:spacing w:before="0" w:after="36" w:line="240" w:lineRule="auto"/>
      </w:pPr>
      <w:r>
        <w:rPr>
          <w:rFonts w:ascii="Arial" w:hAnsi="Arial" w:eastAsia="Arial"/>
          <w:b w:val="0"/>
          <w:i/>
          <w:color w:val="505050"/>
          <w:sz w:val="18"/>
        </w:rPr>
        <w:t>Ready Alliance Group / My Patriot Supply, Salt Lake City and regional sites</w:t>
      </w:r>
      <w:r>
        <w:rPr>
          <w:rFonts w:ascii="Arial" w:hAnsi="Arial" w:eastAsia="Arial"/>
          <w:b w:val="0"/>
          <w:i/>
          <w:color w:val="505050"/>
          <w:sz w:val="18"/>
        </w:rPr>
        <w:tab/>
        <w:t>Sep 2020-Oct 2021</w:t>
      </w:r>
    </w:p>
    <w:p>
      <w:pPr>
        <w:keepNext/>
        <w:keepLines/>
        <w:pageBreakBefore w:val="0"/>
        <w:spacing w:before="0" w:after="66" w:line="262" w:lineRule="auto"/>
      </w:pPr>
      <w:r>
        <w:rPr>
          <w:rFonts w:ascii="Arial" w:hAnsi="Arial" w:eastAsia="Arial"/>
          <w:b w:val="0"/>
          <w:i/>
          <w:color w:val="505050"/>
          <w:sz w:val="18"/>
        </w:rPr>
        <w:t>Led distribution, manufacturing and supplement-development projects during national expansion.</w:t>
      </w:r>
    </w:p>
    <w:p>
      <w:pPr>
        <w:keepNext w:val="0"/>
        <w:keepLines/>
        <w:pageBreakBefore w:val="0"/>
        <w:spacing w:before="0" w:after="90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Supplement Evaluation: </w:t>
      </w:r>
      <w:r>
        <w:rPr>
          <w:rFonts w:ascii="Arial" w:hAnsi="Arial" w:eastAsia="Arial"/>
          <w:b w:val="0"/>
          <w:i w:val="0"/>
          <w:color w:val="171717"/>
          <w:sz w:val="20"/>
        </w:rPr>
        <w:t>Evaluated a proposed proprietary line through supplier outreach, formulation quotes and extended-shelf-life research.</w:t>
      </w:r>
    </w:p>
    <w:p>
      <w:pPr>
        <w:keepNext w:val="0"/>
        <w:keepLines/>
        <w:pageBreakBefore w:val="0"/>
        <w:spacing w:before="0" w:after="90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Manufacturing Assessment: </w:t>
      </w:r>
      <w:r>
        <w:rPr>
          <w:rFonts w:ascii="Arial" w:hAnsi="Arial" w:eastAsia="Arial"/>
          <w:b w:val="0"/>
          <w:i w:val="0"/>
          <w:color w:val="171717"/>
          <w:sz w:val="20"/>
        </w:rPr>
        <w:t>Documented equipment limits in an acquired process and presented an upgraded machinery recommendation that ownership approved.</w:t>
      </w:r>
    </w:p>
    <w:p>
      <w:pPr>
        <w:keepNext w:val="0"/>
        <w:keepLines/>
        <w:pageBreakBefore w:val="0"/>
        <w:spacing w:before="0" w:after="90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Distribution Expansion: </w:t>
      </w:r>
      <w:r>
        <w:rPr>
          <w:rFonts w:ascii="Arial" w:hAnsi="Arial" w:eastAsia="Arial"/>
          <w:b w:val="0"/>
          <w:i w:val="0"/>
          <w:color w:val="171717"/>
          <w:sz w:val="20"/>
        </w:rPr>
        <w:t>Led Kansas City and Columbus launches, adding ~62,000 square feet of company-operated capacity and enabling two-day contiguous-U.S. delivery.</w:t>
      </w:r>
    </w:p>
    <w:p>
      <w:pPr>
        <w:keepNext w:val="0"/>
        <w:keepLines/>
        <w:pageBreakBefore w:val="0"/>
        <w:spacing w:before="0" w:after="0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Launch Execution: </w:t>
      </w:r>
      <w:r>
        <w:rPr>
          <w:rFonts w:ascii="Arial" w:hAnsi="Arial" w:eastAsia="Arial"/>
          <w:b w:val="0"/>
          <w:i w:val="0"/>
          <w:color w:val="171717"/>
          <w:sz w:val="20"/>
        </w:rPr>
        <w:t>Coordinated sites, leases, founding managers, layouts, racking, shipping stations, IT, staffing vendors and launch readiness.</w:t>
      </w:r>
    </w:p>
    <w:p>
      <w:pPr>
        <w:keepNext/>
        <w:keepLines/>
        <w:pageBreakBefore/>
        <w:tabs>
          <w:tab w:pos="10368" w:val="right" w:leader="dot"/>
        </w:tabs>
        <w:spacing w:before="140" w:after="100" w:line="240" w:lineRule="auto"/>
        <w:jc w:val="right"/>
      </w:pPr>
      <w:r>
        <w:rPr>
          <w:rFonts w:ascii="Arial" w:hAnsi="Arial" w:eastAsia="Arial"/>
          <w:b/>
          <w:i w:val="0"/>
          <w:color w:val="171717"/>
          <w:sz w:val="16"/>
          <w:spacing w:val="26"/>
        </w:rPr>
        <w:tab/>
        <w:t>PROFESSIONAL EXPERIENCE CONTINUED</w:t>
      </w:r>
    </w:p>
    <w:p>
      <w:pPr>
        <w:keepNext/>
        <w:keepLines/>
        <w:pageBreakBefore w:val="0"/>
        <w:spacing w:before="100" w:after="9" w:line="240" w:lineRule="auto"/>
      </w:pPr>
      <w:r>
        <w:rPr>
          <w:rFonts w:ascii="Arial" w:hAnsi="Arial" w:eastAsia="Arial"/>
          <w:b/>
          <w:i w:val="0"/>
          <w:color w:val="171717"/>
          <w:sz w:val="22"/>
          <w:spacing w:val="3"/>
        </w:rPr>
        <w:t>Director of Operations  |  Promoted Through Operations &amp; Fulfillment Roles</w:t>
      </w:r>
    </w:p>
    <w:p>
      <w:pPr>
        <w:keepNext/>
        <w:keepLines/>
        <w:pageBreakBefore w:val="0"/>
        <w:tabs>
          <w:tab w:pos="10368" w:val="right"/>
        </w:tabs>
        <w:spacing w:before="0" w:after="36" w:line="240" w:lineRule="auto"/>
      </w:pPr>
      <w:r>
        <w:rPr>
          <w:rFonts w:ascii="Arial" w:hAnsi="Arial" w:eastAsia="Arial"/>
          <w:b w:val="0"/>
          <w:i/>
          <w:color w:val="505050"/>
          <w:sz w:val="18"/>
        </w:rPr>
        <w:t>Confidential, Privately Held Ecommerce &amp; Media Company, Austin, Texas</w:t>
      </w:r>
      <w:r>
        <w:rPr>
          <w:rFonts w:ascii="Arial" w:hAnsi="Arial" w:eastAsia="Arial"/>
          <w:b w:val="0"/>
          <w:i/>
          <w:color w:val="505050"/>
          <w:sz w:val="18"/>
        </w:rPr>
        <w:tab/>
        <w:t>2007-2020</w:t>
      </w:r>
    </w:p>
    <w:p>
      <w:pPr>
        <w:keepNext/>
        <w:keepLines/>
        <w:pageBreakBefore w:val="0"/>
        <w:spacing w:before="0" w:after="50" w:line="262" w:lineRule="auto"/>
      </w:pPr>
      <w:r>
        <w:rPr>
          <w:rFonts w:ascii="Arial" w:hAnsi="Arial" w:eastAsia="Arial"/>
          <w:b w:val="0"/>
          <w:i/>
          <w:color w:val="505050"/>
          <w:sz w:val="18"/>
        </w:rPr>
        <w:t>Founder-led consumer-products, ecommerce and national media company that grew during tenure from ~7 employees and $2M in annual revenue to ~80 employees and ~$80M, supporting ~750,000 annual orders and 2,000 SKUs. Led most non-editorial business functions across product, ecommerce, purchasing, fulfillment, customer service, IT, graphics and accounting support.</w:t>
      </w:r>
    </w:p>
    <w:p>
      <w:pPr>
        <w:keepNext w:val="0"/>
        <w:keepLines/>
        <w:pageBreakBefore w:val="0"/>
        <w:spacing w:before="0" w:after="72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Portfolio Commercialization: </w:t>
      </w:r>
      <w:r>
        <w:rPr>
          <w:rFonts w:ascii="Arial" w:hAnsi="Arial" w:eastAsia="Arial"/>
          <w:b w:val="0"/>
          <w:i w:val="0"/>
          <w:color w:val="171717"/>
          <w:sz w:val="20"/>
        </w:rPr>
        <w:t>Led the shift from third-party supplements to proprietary products, building the portfolio from zero to ~90% of company revenue and directing 250+ launches.</w:t>
      </w:r>
    </w:p>
    <w:p>
      <w:pPr>
        <w:keepNext w:val="0"/>
        <w:keepLines/>
        <w:pageBreakBefore w:val="0"/>
        <w:spacing w:before="0" w:after="72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Manufacturer &amp; Co-Packer Leadership: </w:t>
      </w:r>
      <w:r>
        <w:rPr>
          <w:rFonts w:ascii="Arial" w:hAnsi="Arial" w:eastAsia="Arial"/>
          <w:b w:val="0"/>
          <w:i w:val="0"/>
          <w:color w:val="171717"/>
          <w:sz w:val="20"/>
        </w:rPr>
        <w:t>Selected, toured, negotiated with, onboarded and managed 10-12 partners supporting 40-50 active supplement SKUs.</w:t>
      </w:r>
    </w:p>
    <w:p>
      <w:pPr>
        <w:keepNext w:val="0"/>
        <w:keepLines/>
        <w:pageBreakBefore w:val="0"/>
        <w:spacing w:before="0" w:after="72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Product Development &amp; Launch: </w:t>
      </w:r>
      <w:r>
        <w:rPr>
          <w:rFonts w:ascii="Arial" w:hAnsi="Arial" w:eastAsia="Arial"/>
          <w:b w:val="0"/>
          <w:i w:val="0"/>
          <w:color w:val="171717"/>
          <w:sz w:val="20"/>
        </w:rPr>
        <w:t>Owned positioning, pricing, formulations, ingredients, specifications, MOQs, capacity, testing, COAs, labels, packaging, freight and readiness across capsule, powder, liquid, gummy and stick-pack formats.</w:t>
      </w:r>
    </w:p>
    <w:p>
      <w:pPr>
        <w:keepNext w:val="0"/>
        <w:keepLines/>
        <w:pageBreakBefore w:val="0"/>
        <w:spacing w:before="0" w:after="72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Cost, Lead Time &amp; Terms: </w:t>
      </w:r>
      <w:r>
        <w:rPr>
          <w:rFonts w:ascii="Arial" w:hAnsi="Arial" w:eastAsia="Arial"/>
          <w:b w:val="0"/>
          <w:i w:val="0"/>
          <w:color w:val="171717"/>
          <w:sz w:val="20"/>
        </w:rPr>
        <w:t>Renegotiated a 100,000-150,000-bottle product from ~$10 to ~$4 per bottle, cut lead time by 30 days and secured Net 30 after delivery.</w:t>
      </w:r>
    </w:p>
    <w:p>
      <w:pPr>
        <w:keepNext w:val="0"/>
        <w:keepLines/>
        <w:pageBreakBefore w:val="0"/>
        <w:spacing w:before="0" w:after="72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Compliance &amp; Product Risk: </w:t>
      </w:r>
      <w:r>
        <w:rPr>
          <w:rFonts w:ascii="Arial" w:hAnsi="Arial" w:eastAsia="Arial"/>
          <w:b w:val="0"/>
          <w:i w:val="0"/>
          <w:color w:val="171717"/>
          <w:sz w:val="20"/>
        </w:rPr>
        <w:t>Owned business execution for FDA labeling, FTC claims, GMP, QA/QC and recall readiness, driving remediation, sales stops, quarantine or destruction when needed.</w:t>
      </w:r>
    </w:p>
    <w:p>
      <w:pPr>
        <w:keepNext w:val="0"/>
        <w:keepLines/>
        <w:pageBreakBefore w:val="0"/>
        <w:spacing w:before="0" w:after="72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P&amp;L &amp; Unit Economics: </w:t>
      </w:r>
      <w:r>
        <w:rPr>
          <w:rFonts w:ascii="Arial" w:hAnsi="Arial" w:eastAsia="Arial"/>
          <w:b w:val="0"/>
          <w:i w:val="0"/>
          <w:color w:val="171717"/>
          <w:sz w:val="20"/>
        </w:rPr>
        <w:t>Owned forecasts, pricing, CAC, LTV and CM3 across ecommerce and business operations within a ~$80M company and used contribution economics to decide what to scale, fix or stop.</w:t>
      </w:r>
    </w:p>
    <w:p>
      <w:pPr>
        <w:keepNext w:val="0"/>
        <w:keepLines/>
        <w:pageBreakBefore w:val="0"/>
        <w:spacing w:before="0" w:after="72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Demand &amp; Inventory Planning: </w:t>
      </w:r>
      <w:r>
        <w:rPr>
          <w:rFonts w:ascii="Arial" w:hAnsi="Arial" w:eastAsia="Arial"/>
          <w:b w:val="0"/>
          <w:i w:val="0"/>
          <w:color w:val="171717"/>
          <w:sz w:val="20"/>
        </w:rPr>
        <w:t>Managed multimillion-dollar inventory through forecasts, promotions, subscription demand, supplier lead times, available stock and cash requirements.</w:t>
      </w:r>
    </w:p>
    <w:p>
      <w:pPr>
        <w:keepNext w:val="0"/>
        <w:keepLines/>
        <w:pageBreakBefore w:val="0"/>
        <w:spacing w:before="0" w:after="72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Subscription Economics: </w:t>
      </w:r>
      <w:r>
        <w:rPr>
          <w:rFonts w:ascii="Arial" w:hAnsi="Arial" w:eastAsia="Arial"/>
          <w:b w:val="0"/>
          <w:i w:val="0"/>
          <w:color w:val="171717"/>
          <w:sz w:val="20"/>
        </w:rPr>
        <w:t>Owned cross-sell and recurring-revenue performance across 45,000-48,000 autoship schedules, including retention pricing, billing notices and failed-payment recovery.</w:t>
      </w:r>
    </w:p>
    <w:p>
      <w:pPr>
        <w:keepNext w:val="0"/>
        <w:keepLines/>
        <w:pageBreakBefore w:val="0"/>
        <w:spacing w:before="0" w:after="72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Cross-Functional Leadership: </w:t>
      </w:r>
      <w:r>
        <w:rPr>
          <w:rFonts w:ascii="Arial" w:hAnsi="Arial" w:eastAsia="Arial"/>
          <w:b w:val="0"/>
          <w:i w:val="0"/>
          <w:color w:val="171717"/>
          <w:sz w:val="20"/>
        </w:rPr>
        <w:t>Led seven department managers and coordinated manufacturers, counsel, marketing, talent and ownership through rapid change and complex business risk.</w:t>
      </w:r>
    </w:p>
    <w:p>
      <w:pPr>
        <w:keepNext w:val="0"/>
        <w:keepLines/>
        <w:pageBreakBefore w:val="0"/>
        <w:spacing w:before="0" w:after="72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People &amp; KPI Leadership: </w:t>
      </w:r>
      <w:r>
        <w:rPr>
          <w:rFonts w:ascii="Arial" w:hAnsi="Arial" w:eastAsia="Arial"/>
          <w:b w:val="0"/>
          <w:i w:val="0"/>
          <w:color w:val="171717"/>
          <w:sz w:val="20"/>
        </w:rPr>
        <w:t>Built companywide dashboards and manager reviews and held final authority for hiring, performance, discipline and termination.</w:t>
      </w:r>
    </w:p>
    <w:p>
      <w:pPr>
        <w:keepNext w:val="0"/>
        <w:keepLines/>
        <w:pageBreakBefore w:val="0"/>
        <w:spacing w:before="0" w:after="72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Creator &amp; Media Operations: </w:t>
      </w:r>
      <w:r>
        <w:rPr>
          <w:rFonts w:ascii="Arial" w:hAnsi="Arial" w:eastAsia="Arial"/>
          <w:b w:val="0"/>
          <w:i w:val="0"/>
          <w:color w:val="171717"/>
          <w:sz w:val="20"/>
        </w:rPr>
        <w:t>Built recurring contributor relationships across radio, podcast, streaming and video, coordinating terms, deliverables, promotion, licensing, royalties and payments.</w:t>
      </w:r>
    </w:p>
    <w:p>
      <w:pPr>
        <w:keepNext w:val="0"/>
        <w:keepLines/>
        <w:pageBreakBefore w:val="0"/>
        <w:spacing w:before="0" w:after="72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Customer Experience &amp; Systems: </w:t>
      </w:r>
      <w:r>
        <w:rPr>
          <w:rFonts w:ascii="Arial" w:hAnsi="Arial" w:eastAsia="Arial"/>
          <w:b w:val="0"/>
          <w:i w:val="0"/>
          <w:color w:val="171717"/>
          <w:sz w:val="20"/>
        </w:rPr>
        <w:t>Added live chat and a PCI-compliant 24/7/365 call center and led Magento, NetSuite, SubscribePro, fraud-prevention and reporting implementations across the operation.</w:t>
      </w:r>
    </w:p>
    <w:p>
      <w:pPr>
        <w:keepNext w:val="0"/>
        <w:keepLines/>
        <w:pageBreakBefore w:val="0"/>
        <w:spacing w:before="0" w:after="72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Fulfillment Expansion: </w:t>
      </w:r>
      <w:r>
        <w:rPr>
          <w:rFonts w:ascii="Arial" w:hAnsi="Arial" w:eastAsia="Arial"/>
          <w:b w:val="0"/>
          <w:i w:val="0"/>
          <w:color w:val="171717"/>
          <w:sz w:val="20"/>
        </w:rPr>
        <w:t>Led setup of a 32,000-square-foot facility, coordinating racking, warehouse systems, IT equipment, vendors and operating teams through the transition.</w:t>
      </w:r>
    </w:p>
    <w:p>
      <w:pPr>
        <w:keepNext/>
        <w:keepLines/>
        <w:pageBreakBefore w:val="0"/>
        <w:spacing w:before="100" w:after="9" w:line="240" w:lineRule="auto"/>
      </w:pPr>
      <w:r>
        <w:rPr>
          <w:rFonts w:ascii="Arial" w:hAnsi="Arial" w:eastAsia="Arial"/>
          <w:b/>
          <w:i w:val="0"/>
          <w:color w:val="171717"/>
          <w:sz w:val="22"/>
          <w:spacing w:val="3"/>
        </w:rPr>
        <w:t>Founder &amp; Operator</w:t>
      </w:r>
    </w:p>
    <w:p>
      <w:pPr>
        <w:keepNext/>
        <w:keepLines/>
        <w:pageBreakBefore w:val="0"/>
        <w:tabs>
          <w:tab w:pos="10368" w:val="right"/>
        </w:tabs>
        <w:spacing w:before="0" w:after="36" w:line="240" w:lineRule="auto"/>
      </w:pPr>
      <w:r>
        <w:rPr>
          <w:rFonts w:ascii="Arial" w:hAnsi="Arial" w:eastAsia="Arial"/>
          <w:b w:val="0"/>
          <w:i/>
          <w:color w:val="505050"/>
          <w:sz w:val="18"/>
        </w:rPr>
        <w:t>TK Commerce and Related Ventures, Concurrent ventures</w:t>
      </w:r>
      <w:r>
        <w:rPr>
          <w:rFonts w:ascii="Arial" w:hAnsi="Arial" w:eastAsia="Arial"/>
          <w:b w:val="0"/>
          <w:i/>
          <w:color w:val="505050"/>
          <w:sz w:val="18"/>
        </w:rPr>
        <w:tab/>
        <w:t>2018-2023</w:t>
      </w:r>
    </w:p>
    <w:p>
      <w:pPr>
        <w:keepNext/>
        <w:keepLines/>
        <w:pageBreakBefore w:val="0"/>
        <w:spacing w:before="0" w:after="50" w:line="262" w:lineRule="auto"/>
      </w:pPr>
      <w:r>
        <w:rPr>
          <w:rFonts w:ascii="Arial" w:hAnsi="Arial" w:eastAsia="Arial"/>
          <w:b w:val="0"/>
          <w:i/>
          <w:color w:val="505050"/>
          <w:sz w:val="18"/>
        </w:rPr>
        <w:t>Operated ecommerce businesses and delivered contracted warehouse, fulfillment and procurement services.</w:t>
      </w:r>
    </w:p>
    <w:p>
      <w:pPr>
        <w:keepNext w:val="0"/>
        <w:keepLines/>
        <w:pageBreakBefore w:val="0"/>
        <w:spacing w:before="0" w:after="72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Full P&amp;L Ownership: </w:t>
      </w:r>
      <w:r>
        <w:rPr>
          <w:rFonts w:ascii="Arial" w:hAnsi="Arial" w:eastAsia="Arial"/>
          <w:b w:val="0"/>
          <w:i w:val="0"/>
          <w:color w:val="171717"/>
          <w:sz w:val="20"/>
        </w:rPr>
        <w:t>Managed revenue, purchasing, operating expenses, cash flow, margins, vendors, staffing and service delivery.</w:t>
      </w:r>
    </w:p>
    <w:p>
      <w:pPr>
        <w:keepNext w:val="0"/>
        <w:keepLines/>
        <w:pageBreakBefore w:val="0"/>
        <w:spacing w:before="0" w:after="0" w:line="271" w:lineRule="auto"/>
        <w:ind w:left="259" w:hanging="187"/>
      </w:pPr>
      <w:r>
        <w:rPr>
          <w:rFonts w:ascii="Arial" w:hAnsi="Arial" w:eastAsia="Arial"/>
          <w:b w:val="0"/>
          <w:i w:val="0"/>
          <w:color w:val="171717"/>
          <w:sz w:val="20"/>
        </w:rPr>
        <w:t xml:space="preserve">•  </w:t>
      </w:r>
      <w:r>
        <w:rPr>
          <w:rFonts w:ascii="Arial" w:hAnsi="Arial" w:eastAsia="Arial"/>
          <w:b/>
          <w:i w:val="0"/>
          <w:color w:val="171717"/>
          <w:sz w:val="20"/>
        </w:rPr>
        <w:t xml:space="preserve">Commercial Decisions: </w:t>
      </w:r>
      <w:r>
        <w:rPr>
          <w:rFonts w:ascii="Arial" w:hAnsi="Arial" w:eastAsia="Arial"/>
          <w:b w:val="0"/>
          <w:i w:val="0"/>
          <w:color w:val="171717"/>
          <w:sz w:val="20"/>
        </w:rPr>
        <w:t>Evaluated supplier economics, freight, inventory exposure and contract terms to guide sourcing, pricing and purchasing.</w:t>
      </w:r>
    </w:p>
    <w:p>
      <w:pPr>
        <w:keepNext/>
        <w:keepLines/>
        <w:pageBreakBefore w:val="0"/>
        <w:tabs>
          <w:tab w:pos="10368" w:val="right" w:leader="dot"/>
        </w:tabs>
        <w:spacing w:before="140" w:after="100" w:line="240" w:lineRule="auto"/>
        <w:jc w:val="right"/>
      </w:pPr>
      <w:r>
        <w:rPr>
          <w:rFonts w:ascii="Arial" w:hAnsi="Arial" w:eastAsia="Arial"/>
          <w:b/>
          <w:i w:val="0"/>
          <w:color w:val="171717"/>
          <w:sz w:val="16"/>
          <w:spacing w:val="26"/>
        </w:rPr>
        <w:tab/>
        <w:t>SYSTEMS AND TOOLS</w:t>
      </w:r>
    </w:p>
    <w:p>
      <w:pPr>
        <w:keepNext w:val="0"/>
        <w:keepLines/>
        <w:pageBreakBefore w:val="0"/>
        <w:spacing w:before="0" w:after="38" w:line="264" w:lineRule="auto"/>
      </w:pPr>
      <w:r>
        <w:rPr>
          <w:rFonts w:ascii="Arial" w:hAnsi="Arial" w:eastAsia="Arial"/>
          <w:b/>
          <w:i w:val="0"/>
          <w:color w:val="171717"/>
          <w:sz w:val="19"/>
        </w:rPr>
        <w:t xml:space="preserve">Implementation Scope: </w:t>
      </w:r>
      <w:r>
        <w:rPr>
          <w:rFonts w:ascii="Arial" w:hAnsi="Arial" w:eastAsia="Arial"/>
          <w:b w:val="0"/>
          <w:i w:val="0"/>
          <w:color w:val="171717"/>
          <w:sz w:val="19"/>
        </w:rPr>
        <w:t>ERP, ecommerce, subscriptions, order management, fraud prevention, customer service, marketing automation, workflow and KPI reporting</w:t>
      </w:r>
    </w:p>
    <w:p>
      <w:pPr>
        <w:keepNext w:val="0"/>
        <w:keepLines/>
        <w:pageBreakBefore w:val="0"/>
        <w:spacing w:before="0" w:after="38" w:line="264" w:lineRule="auto"/>
      </w:pPr>
      <w:r>
        <w:rPr>
          <w:rFonts w:ascii="Arial" w:hAnsi="Arial" w:eastAsia="Arial"/>
          <w:b/>
          <w:i w:val="0"/>
          <w:color w:val="171717"/>
          <w:sz w:val="19"/>
        </w:rPr>
        <w:t xml:space="preserve">Representative Platforms: </w:t>
      </w:r>
      <w:r>
        <w:rPr>
          <w:rFonts w:ascii="Arial" w:hAnsi="Arial" w:eastAsia="Arial"/>
          <w:b w:val="0"/>
          <w:i w:val="0"/>
          <w:color w:val="171717"/>
          <w:sz w:val="19"/>
        </w:rPr>
        <w:t>NetSuite, Magento, Shopify, SubscribePro, Stone Edge Order Manager, Kount, Zendesk, Bronto, Asana and Excel</w:t>
      </w:r>
    </w:p>
    <w:sectPr w:rsidR="00FC693F" w:rsidRPr="0006063C" w:rsidSect="00034616">
      <w:headerReference w:type="default" r:id="rId9"/>
      <w:headerReference w:type="first" r:id="rId10"/>
      <w:pgSz w:w="12240" w:h="15840"/>
      <w:pgMar w:top="662" w:right="893" w:bottom="662" w:left="893" w:header="317" w:footer="31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368" w:val="right"/>
        <w:tab w:pos="10368" w:val="right"/>
        <w:tab w:pos="10368" w:val="right"/>
        <w:tab w:pos="10368" w:val="right"/>
      </w:tabs>
      <w:spacing w:after="0" w:line="240" w:lineRule="auto"/>
    </w:pPr>
    <w:r>
      <w:rPr>
        <w:rFonts w:ascii="Arial" w:hAnsi="Arial" w:eastAsia="Arial"/>
        <w:b/>
        <w:i w:val="0"/>
        <w:color w:val="767676"/>
        <w:sz w:val="15"/>
      </w:rPr>
      <w:t>TIM FRUGE  |  GENERAL MANAGER &amp; OPERATIONS EXECUTIVE</w:t>
    </w:r>
    <w:r>
      <w:rPr>
        <w:rFonts w:ascii="Arial" w:hAnsi="Arial" w:eastAsia="Arial"/>
        <w:b/>
        <w:i w:val="0"/>
        <w:color w:val="767676"/>
        <w:sz w:val="15"/>
      </w:rPr>
      <w:tab/>
      <w:t>PAGE 2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0" w:line="240" w:lineRule="auto"/>
    </w:pPr>
    <w:rPr>
      <w:rFonts w:ascii="Arial" w:hAnsi="Arial" w:eastAsia="Arial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Section">
    <w:name w:val="Resume Section"/>
    <w:pPr>
      <w:keepNext/>
      <w:spacing w:before="110" w:after="50"/>
    </w:pPr>
    <w:rPr>
      <w:rFonts w:ascii="Arial" w:hAnsi="Arial" w:eastAsia="Arial"/>
      <w:b/>
      <w:caps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 Fruge Master Executive Resume</dc:title>
  <dc:subject>General management and operations leadership</dc:subject>
  <dc:creator>Tim Fruge</dc:creator>
  <cp:keywords>general management, operations leadership, P&amp;L, business transformation, consumer products, media, DTC, supplements, product commercialization, supply chain, recurring revenue, systems implementation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